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4536" w:firstLine="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Nº ____/2017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QUE ENTRE SI CELEBRAM A PREFEITURA MUNICIPAL DE BALNEÁRIO </w:t>
      </w:r>
      <w:r w:rsidDel="00000000" w:rsidR="00000000" w:rsidRPr="00000000">
        <w:rPr>
          <w:rFonts w:ascii="Arial" w:cs="Arial" w:eastAsia="Arial" w:hAnsi="Arial"/>
          <w:rtl w:val="0"/>
        </w:rPr>
        <w:t xml:space="preserve">CAMBORIÚ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POR INTERMÉDIO DA SECRETARIA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(ORGANIZAÇÃO DA SOCIEDADE CIVIL)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MUNICÍPIO DE BALNEÁRIO CAMBORIÚ</w:t>
      </w:r>
      <w:r w:rsidDel="00000000" w:rsidR="00000000" w:rsidRPr="00000000">
        <w:rPr>
          <w:rFonts w:ascii="Arial" w:cs="Arial" w:eastAsia="Arial" w:hAnsi="Arial"/>
          <w:rtl w:val="0"/>
        </w:rPr>
        <w:t xml:space="preserve">, pessoa jurídica de direito público interno, com CNPJ nº 83.102.285/0001-07, estabelecido na Rua Dinamarca, nº 320, por intermédio da Secretaria 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doravante  denominada ADMINISTRAÇÃO PÚBLICA MUNICIPAL,neste ato  representada pelo(a) </w:t>
        <w:tab/>
        <w:t xml:space="preserve">(nome, qualificação e CPF da autoridade</w:t>
        <w:tab/>
        <w:t xml:space="preserve">competente),e a(o) (organização da sociedade civil), inscrita(o) no CNPJ sob  n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º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_____, com sede ______, doravante denominada (o) ORGANIZAÇÃO DA SOCIEDADE CIVIL, representada (o) pelo(a) (nome e cargo do representante legal da organização da sociedade civil, seguido da respectiva qualificação, endereço e CPF), resolvem celebrar o presente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regendo-se pelo disposto na Lei Complementar nº 101, de 04 de maio de 2000, nas correspondentes Lei de Diretrizes Orçamentárias e Lei Orçamentária Anual, na Lei nº 13.019, de 31 de julho de 2.014, consoante o processo administrativo nº_________ e mediante as cláusulas e condições seguintes: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PRIMEIRA – DO OBJETO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1.1 - O presente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decorrente de ______________ (chamamento público, </w:t>
      </w:r>
      <w:r w:rsidDel="00000000" w:rsidR="00000000" w:rsidRPr="00000000">
        <w:rPr>
          <w:rFonts w:ascii="Arial" w:cs="Arial" w:eastAsia="Arial" w:hAnsi="Arial"/>
          <w:rtl w:val="0"/>
        </w:rPr>
        <w:t xml:space="preserve">inexigibilidade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 dispensa) tem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onforme detalhado no Plano de Trabalho, ANEXO I.</w:t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SEGUNDA - DAS OBRIGAÇÕES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2.1 - São obrigações dos Partícipes: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DA ADMINISTRAÇÃO PÚBLICA MUNICIPAL: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publica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respectivo extrato</w:t>
      </w:r>
      <w:r w:rsidDel="00000000" w:rsidR="00000000" w:rsidRPr="00000000">
        <w:rPr>
          <w:rFonts w:ascii="Arial" w:cs="Arial" w:eastAsia="Arial" w:hAnsi="Arial"/>
          <w:rtl w:val="0"/>
        </w:rPr>
        <w:t xml:space="preserve"> da parceria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no meio oficial de publicidade da administração pública, contemplando </w:t>
      </w:r>
      <w:r w:rsidDel="00000000" w:rsidR="00000000" w:rsidRPr="00000000">
        <w:rPr>
          <w:rFonts w:ascii="Arial" w:cs="Arial" w:eastAsia="Arial" w:hAnsi="Arial"/>
          <w:rtl w:val="0"/>
        </w:rPr>
        <w:t xml:space="preserve">neste a designação do gestor do Termo de Colaboração;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promover o monitoramento e a avaliação do cumprimento do objeto da parceria, sendo que, a administração pública poderá valer-se do apoio técnico de terceiros, delegar competência ou firmar parcerias com órgãos ou entidades que se situem próximos ao local de aplicação dos recursos;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emitir relatório técnico de monitoramento e avaliação da parceria e o </w:t>
      </w:r>
      <w:r w:rsidDel="00000000" w:rsidR="00000000" w:rsidRPr="00000000">
        <w:rPr>
          <w:rFonts w:ascii="Arial" w:cs="Arial" w:eastAsia="Arial" w:hAnsi="Arial"/>
          <w:rtl w:val="0"/>
        </w:rPr>
        <w:t xml:space="preserve">submeter à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comissão de monitoramento e avaliação designada;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realizar, </w:t>
      </w:r>
      <w:r w:rsidDel="00000000" w:rsidR="00000000" w:rsidRPr="00000000">
        <w:rPr>
          <w:rFonts w:ascii="Arial" w:cs="Arial" w:eastAsia="Arial" w:hAnsi="Arial"/>
          <w:rtl w:val="0"/>
        </w:rPr>
        <w:t xml:space="preserve">nas parcerias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designar um gestor da parceria;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manter, em seu sítio oficial na internet, a relação das parcerias celebradas e dos respectivos planos de trabalho, até cento e oitenta dias após o respectivo encerramento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instaurar tomada </w:t>
      </w:r>
      <w:r w:rsidDel="00000000" w:rsidR="00000000" w:rsidRPr="00000000">
        <w:rPr>
          <w:rFonts w:ascii="Arial" w:cs="Arial" w:eastAsia="Arial" w:hAnsi="Arial"/>
          <w:rtl w:val="0"/>
        </w:rPr>
        <w:t xml:space="preserve">especial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ante a constatação de evidências de irregularidades na execução do objeto da parceria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i) demonstração de que os objetivos e finalidades institucionais e a capacidade técnica e operacional da organização da sociedade civil foram avaliados e são compatíveis com o objeto;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j) aprovação do plano de trabalho;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k) fornecer manuais específicos de prestação de contas às organizações da sociedade civil por ocasião da celebração das parcerias, informando previamente e publicando em meios oficiais de comunicação às referidas organizações eventuais alterações no seu conteúdo;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l) apresentar termo de empréstimo e cessão dos bens, materiais ou objetos que serão submetidos à Organização da Sociedade Civil, a qual deverá certificar o recebimento destes, assumindo o compromisso de devolução no estado inicial, se for o caso;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m) indicação expressa da existência de prévia dotação orçamentária para execução da parceria;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n) demonstração de que os objetivos e finalidades institucionais e a capacidade técnica e operacional da organização da sociedade civil foram avaliados e são compatíveis com o objeto;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o) emissão de parecer jurídico do órgão de assessoria ou consultoria jurídica da administração pública acerca da possibilidade de celebração da parceria;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p) fornecer plataforma eletrônica para a prestação de contas e todos os atos que dela decorram, permitindo a visualização por qualquer interessado. Enquanto não for implementada pela Administração Pública a plataforma eletrônica, as prestações de conta se darão por meio físico.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DA ORGANIZAÇÃO DA SOCIEDADE CIVIL: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apresentar prestação 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contas dos</w:t>
      </w:r>
      <w:r w:rsidDel="00000000" w:rsidR="00000000" w:rsidRPr="00000000">
        <w:rPr>
          <w:rFonts w:ascii="Arial" w:cs="Arial" w:eastAsia="Arial" w:hAnsi="Arial"/>
          <w:rtl w:val="0"/>
        </w:rPr>
        <w:t xml:space="preserve"> recursos recebidos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por meio deste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divulgar na internet e em locais visíveis de suas sedes sociais e dos estabelecimentos em que exerça suas ações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banners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que apresentem todas as parcerias celebradas com o poder público, contendo, no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couber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as informações requeridas no parágrafo único do art. 11 da Lei nº 13.019/2014 e </w:t>
      </w:r>
      <w:r w:rsidDel="00000000" w:rsidR="00000000" w:rsidRPr="00000000">
        <w:rPr>
          <w:rFonts w:ascii="Arial" w:cs="Arial" w:eastAsia="Arial" w:hAnsi="Arial"/>
          <w:rtl w:val="0"/>
        </w:rPr>
        <w:t xml:space="preserve">serviços disponibilizados pela organização a comunidade através deste 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dar livre acesso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servidores dos órgãos ou das entidades públicas, do controle interno e do Tribunal de Contas correspondentes aos processos, aos documentos, às informações referentes aos instrumentos de transferências </w:t>
      </w:r>
      <w:r w:rsidDel="00000000" w:rsidR="00000000" w:rsidRPr="00000000">
        <w:rPr>
          <w:rFonts w:ascii="Arial" w:cs="Arial" w:eastAsia="Arial" w:hAnsi="Arial"/>
          <w:rtl w:val="0"/>
        </w:rPr>
        <w:t xml:space="preserve">previstas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pela Lei nº 13.019, de 2014, bem como aos locais de execução e guarda do objeto;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zelar pela integridade física dos bens, objetos e materiais cedidos a título de comodato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inclusive no que diz respeito às despesas </w:t>
      </w:r>
      <w:r w:rsidDel="00000000" w:rsidR="00000000" w:rsidRPr="00000000">
        <w:rPr>
          <w:rFonts w:ascii="Arial" w:cs="Arial" w:eastAsia="Arial" w:hAnsi="Arial"/>
          <w:rtl w:val="0"/>
        </w:rPr>
        <w:t xml:space="preserve">com manutenção, limpeza e reparos, quando for o caso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responder exclusivamente pelo pagamento dos encargos trabalhistas, previdenciários, fiscais e comerciais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relacionados à execução do objeto da parceria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disponibilizar ao cidadão, na sua página na internet ou, na falta desta, em sua sede, consulta ao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contendo</w:t>
      </w:r>
      <w:r w:rsidDel="00000000" w:rsidR="00000000" w:rsidRPr="00000000">
        <w:rPr>
          <w:rFonts w:ascii="Arial" w:cs="Arial" w:eastAsia="Arial" w:hAnsi="Arial"/>
          <w:rtl w:val="0"/>
        </w:rPr>
        <w:t xml:space="preserve"> o mesmo de forma integral, assim como o plano de trabalho;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g) Caso a organização da sociedade civil adquira equipamentos e materiais permanentes com recursos provenientes da celebração desta parceria, o bem será gravado com cláusula de inalienabilidade, e ela deverá formalizar promessa de transferência da propriedade à administração pública ou outra pessoa jurídica de igual natureza que preencha os requisitos desta Lei e cujo objeto social seja, preferencialmente, o mesmo da organização da sociedade civil na hipótese de sua extinção;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h) Manter instalações, condições materiais e capacidade técnica e operacional para o desenvolvimento das atividades ou projetos previstos na parceria e o cumprimento das metas estabelecidas.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CLÁUSULA TERCEIRA - DOS REQUISITOS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3.1 - Para celebração do Termo de Colaboração, a organização da sociedade civil deve comprovar: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- objetivos voltados à promoção de atividades e finalidades de relevância pública e social;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- escrituração contábil de acordo com os princípios fundamentais de contabilidade e com as Normas Brasileiras de Contabilidade;</w:t>
        <w:br w:type="textWrapping"/>
        <w:br w:type="textWrapping"/>
        <w:t xml:space="preserve">III - ter no mínimo, 1 (um) ano de existência, com cadastro ativo, comprovados por meio de documentação emitida pela Secretaria da Receita Federal do Brasil, com base no Cadastro Nacional da Pessoa Jurídica - CNPJ;</w:t>
        <w:br w:type="textWrapping"/>
        <w:br w:type="textWrapping"/>
        <w:t xml:space="preserve">IV - experiência prévia na realização, com efetividade, do objeto da parceria ou de natureza semelhante;</w:t>
        <w:br w:type="textWrapping"/>
        <w:br w:type="textWrapping"/>
        <w:t xml:space="preserve">V - possuir instalações, condições materiais e capacidade técnica e operacional para o desenvolvimento das atividades ou projetos previstos na parceria e o cumprimento das metas estabelecidas.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3.2 - Para celebração do Termo de Colaboração, as organizações da sociedade civil deverão apresentar:</w:t>
        <w:br w:type="textWrapping"/>
        <w:br w:type="textWrapping"/>
        <w:t xml:space="preserve">I - certidões de regularidade fiscal, previdenciária, tributária, de contribuições e de dívida ativa municipal;</w:t>
        <w:br w:type="textWrapping"/>
        <w:br w:type="textWrapping"/>
        <w:t xml:space="preserve">II - certidão de existência jurídica expedida pelo cartório de registro civil ou cópia do estatuto registrado e de eventuais alterações ou, tratando-se de sociedade cooperativa, certidão simplificada emitida por junta comercial;</w:t>
        <w:br w:type="textWrapping"/>
        <w:br w:type="textWrapping"/>
        <w:t xml:space="preserve">III - cópia da ata de eleição do quadro dirigente atual;</w:t>
        <w:br w:type="textWrapping"/>
        <w:br w:type="textWrapping"/>
        <w:t xml:space="preserve">IV - relação nominal atualizada dos dirigentes da entidade, com endereço, número e órgão expedidor da carteira de identidade e número de registro no Cadastro de Pessoas Físicas - CPF da Secretaria da Receita Federal do Brasil - RFB de cada um deles;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 - relação nominal da equipe executora, com endereço residencial, e número do registro no Cadastro de Pessoas Físicas - CPF;</w:t>
        <w:br w:type="textWrapping"/>
        <w:br w:type="textWrapping"/>
        <w:t xml:space="preserve">VII - comprovação de que a organização da sociedade civil funciona no endereço por ela declarado;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rtl w:val="0"/>
        </w:rPr>
        <w:t xml:space="preserve">QUARTA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DA EXECUÇÃO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– O presente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4.2 - 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- retomar os bens públicos em poder da organização da sociedade civil parceira, qualquer que tenha sido a modalidade ou título que concedeu direitos de uso de tais bens;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- 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rtl w:val="0"/>
        </w:rPr>
        <w:t xml:space="preserve">QUINTA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DA VIGÊNCIA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.1 - O presente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vigerá conforme prazo previsto no anexo Plano de Trabalho para a consecução de seu objeto.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– Toda e qualquer prorrogação, inclusive a referida no item anterior, deverá ser formalizada por termo aditivo, a ser celebrado pelos partícipes antes do término da vigência do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ou da última dilação de prazo, sendo expressamente vedada a celebração de termo aditivo com atribuição de vigência retroativo.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5.3 - O plano de trabalho da parceria poderá ser revisto para alteração de valores ou de metas, mediante termo aditivo ou por apostila ao plano de trabalho original.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rtl w:val="0"/>
        </w:rPr>
        <w:t xml:space="preserve">SEXTA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DA PRESTAÇÃO DE CONTAS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material comprobatório do cumprimentodo objeto em fotos, vídeos ou outros suportes;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relação de serviços prestados, bens adquiridos, produzidos ou construídos, quando for o caso; 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comprovação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através de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lista de presença ou outros meios, do p</w:t>
      </w:r>
      <w:r w:rsidDel="00000000" w:rsidR="00000000" w:rsidRPr="00000000">
        <w:rPr>
          <w:rFonts w:ascii="Arial" w:cs="Arial" w:eastAsia="Arial" w:hAnsi="Arial"/>
          <w:rtl w:val="0"/>
        </w:rPr>
        <w:t xml:space="preserve">úblico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atingido, treinado ou capacitado, quando for o caso.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.º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 organização da sociedade civil prestará contas </w:t>
      </w:r>
      <w:r w:rsidDel="00000000" w:rsidR="00000000" w:rsidRPr="00000000">
        <w:rPr>
          <w:rFonts w:ascii="Arial" w:cs="Arial" w:eastAsia="Arial" w:hAnsi="Arial"/>
          <w:rtl w:val="0"/>
        </w:rPr>
        <w:t xml:space="preserve">dos recursos recebidos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no prazo de até 30 (</w:t>
      </w:r>
      <w:r w:rsidDel="00000000" w:rsidR="00000000" w:rsidRPr="00000000">
        <w:rPr>
          <w:rFonts w:ascii="Arial" w:cs="Arial" w:eastAsia="Arial" w:hAnsi="Arial"/>
          <w:rtl w:val="0"/>
        </w:rPr>
        <w:t xml:space="preserve">trinta)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dias a partir do término da vigência da parceria ou no final de cada </w:t>
      </w:r>
      <w:r w:rsidDel="00000000" w:rsidR="00000000" w:rsidRPr="00000000">
        <w:rPr>
          <w:rFonts w:ascii="Arial" w:cs="Arial" w:eastAsia="Arial" w:hAnsi="Arial"/>
          <w:rtl w:val="0"/>
        </w:rPr>
        <w:t xml:space="preserve">mês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se a duração da parceria exceder um ano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2.º A organização da sociedade civil deverá seguir as orientações contidas no manual de prestação de contas que deverá ser fornecido pela administração pública.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3.º Serão glosados valores relacionados a metas e resultados descumpridos sem justificativa suficiente.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§ 4.º Os dados financeiros serão analisados com o intuito de estabelecer o nexo de causalidade entre a receita e a despesa realizada, a sua conformidade e o cumprimento das normas pertinentes.</w:t>
        <w:br w:type="textWrapping"/>
        <w:br w:type="textWrapping"/>
        <w:t xml:space="preserve">§ 5.º A análise da prestação de contas deverá considerar a verdade real e os resultados alcançados.</w:t>
        <w:br w:type="textWrapping"/>
        <w:br w:type="textWrapping"/>
        <w:t xml:space="preserve">§ 6.º A prestação de contas da parceria observará regras específicas de acordo com o montante de recursos públicos envolvidos, nos termos das disposições e procedimentos estabelecidos conforme previsto no plano de trabalho e no termo de colaboração.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6.2 - Os documentos incluídos pela entidade na plataforma eletrônica prevista, desde que possuam garantia da origem e de seu signatário por certificação digital, serão considerados originais para os efeitos de prestação de contas.</w:t>
        <w:br w:type="textWrapping"/>
        <w:br w:type="textWrapping"/>
        <w:t xml:space="preserve">Parágrafo único. Durante o prazo de 10 (dez) anos, contado do dia útil subsequente ao da prestação de contas, a entidade deve manter em seu arquivo os documentos originais que compõem a prestação de contas.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A Administração pública considerará ainda em sua análise os seguintes relatórios elaborados internamente, quando houver: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relatório da visita técnica in loco realizada durante a execução da parceria;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relatório técnico de monitoramento e avaliação, homologado pela comissão de monitoramento e avaliação designada, sobre a conformidade do cumprimento do objeto e os resultados alcançados durante a execução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do 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Os pareceres técnicos do gestor acerca da prestação de contas, de que trata o art. 67 da Lei nº 13.019, de 2014, deverão conter análise de eficácia e de efetividade das ações quanto: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os resultados já alcançados e seus benefícios;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os impactos econômicos ou sociais;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III - o grau de satisfação do público-alvo;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IV - a possibilidade de sustentabilidade das ações após a conclusão do objeto pactuado.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6.5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 manifestação conclusiva sobre a prestação de contas pela administração pública observará os prazos previstos na Lei nº 13.019, de 2014, devendo concluir, alternativamente, pela: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aprovação da prestação de contas;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aprovação da prestação de contas com ressalvas; 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III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rejeição da prestação de contas e determinação de imediata instauração de tomada de contas especial.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6.6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- Constatada irregularidade ou omissão na prestação de contas, será concedido prazo para a organização da sociedade civil sanar a irregularidade ou cumprir a obrigação.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§ 2º Transcorrido 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Parágrafo único. O transcurso do prazo definido nos termos do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item 7.6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sem que as contas tenham sido apreciadas: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não significa impossibilidade de apreciação em data posterior ou vedação a que se adotem medidas saneadoras, punitivas ou destinadas a ressarcir danos que possam ter sido causados aos cofres públicos;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As prestações de contas serão avaliadas: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regulares, quando expressarem, de forma clara e objetiva, o cumprimento dos objetivos e metas estabelecidos no plano de trabalho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regulares com ressalva, quando evidenciarem impropriedade ou qualquer outra falta de natureza formal que não resulte em dano ao erário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IlI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irregulares, quando comprovada qualquer das seguintes circunstâncias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omissão no dever de prestar contas;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b) descumprimento injustificado dos objetivos e metas estabelecidos no plano de trabalho;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c) dano ao erário decorrente de ato de gestão ilegítimo ou antieconômico;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d) desfalque ou desvio de bens ou valores públicos.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O administrador público responde pela decisão sobre a aprovação da prestação de contas ou por omissão em relação à análise de seu conteúdo,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sendo permitida delegação a autoridades diretamente subordinadas, vedada a subdelegação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</w:t>
      </w:r>
      <w:r w:rsidDel="00000000" w:rsidR="00000000" w:rsidRPr="00000000">
        <w:rPr>
          <w:rFonts w:ascii="Arial" w:cs="Arial" w:eastAsia="Arial" w:hAnsi="Arial"/>
          <w:rtl w:val="0"/>
        </w:rPr>
        <w:t xml:space="preserve"> na parceria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a área de atuação da organização, cuja mensuração econômica será feita a partir do plano de trabalho original, desde que não tenha havido dolo ou fraude e não seja o caso de restituição integral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rtl w:val="0"/>
        </w:rPr>
        <w:t xml:space="preserve">SÉTIMA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- DAS ALTERAÇÕES</w:t>
      </w:r>
    </w:p>
    <w:p w:rsidR="00000000" w:rsidDel="00000000" w:rsidP="00000000" w:rsidRDefault="00000000" w:rsidRPr="00000000">
      <w:pPr>
        <w:pBdr/>
        <w:spacing w:after="0" w:before="0" w:line="240" w:lineRule="auto"/>
        <w:ind w:left="360" w:firstLine="0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7.1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Termo de Colaboração.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.2 - Não é permitida a celebração de aditamento deste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com alteração da natureza do objeto.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7.3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– É obrigatório o aditamento do presente instrumento, quando se fizer necessária a efetivação de alterações que tenham por objetivo as metas</w:t>
      </w:r>
      <w:r w:rsidDel="00000000" w:rsidR="00000000" w:rsidRPr="00000000">
        <w:rPr>
          <w:rFonts w:ascii="Arial" w:cs="Arial" w:eastAsia="Arial" w:hAnsi="Arial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o prazo de vigência</w:t>
      </w:r>
      <w:r w:rsidDel="00000000" w:rsidR="00000000" w:rsidRPr="00000000">
        <w:rPr>
          <w:rFonts w:ascii="Arial" w:cs="Arial" w:eastAsia="Arial" w:hAnsi="Arial"/>
          <w:rtl w:val="0"/>
        </w:rPr>
        <w:t xml:space="preserve"> do Termo de Colaboração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CLÁUSULA OITAVA – DAS VEDAÇÕES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8.1 - É vedada a execução de atividades que tenham por objeto, envolvam ou incluam, direta ou indiretamente: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- delegação das funções de regulação, de fiscalização, do exercício do poder de polícia ou de outras atividades exclusivas do Estado;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- prestação de serviços ou de atividades cujo destinatário seja o aparelho administrativo do Estado.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 - utilização dos recursos físicos em desacordo com o Plano de Trabalho.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8.2 - Ficará impedida de celebrar qualquer modalidade de parceria prevista nesta Lei a organização da sociedade civil que:</w:t>
        <w:br w:type="textWrapping"/>
        <w:br w:type="textWrapping"/>
        <w:t xml:space="preserve">I - não esteja regularmente constituída ou, se estrangeira, não esteja autorizada a funcionar no território nacional;</w:t>
        <w:br w:type="textWrapping"/>
        <w:br w:type="textWrapping"/>
        <w:t xml:space="preserve">II - esteja omissa no dever de prestar contas de parceria anteriormente celebrada;</w:t>
        <w:br w:type="textWrapping"/>
        <w:br w:type="textWrapping"/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  </w:t>
        <w:br w:type="textWrapping"/>
        <w:br w:type="textWrapping"/>
        <w:t xml:space="preserve">IV - tenha tido as contas rejeitadas pela administração pública nos últimos cinco anos, exceto se:</w:t>
        <w:br w:type="textWrapping"/>
        <w:br w:type="textWrapping"/>
        <w:t xml:space="preserve">a) for sanada a irregularidade que motivou a rejeição e quitados os débitos eventualmente imputados;</w:t>
        <w:br w:type="textWrapping"/>
        <w:br w:type="textWrapping"/>
        <w:t xml:space="preserve">b) for reconsiderada ou revista a decisão pela rejeição;</w:t>
        <w:br w:type="textWrapping"/>
        <w:br w:type="textWrapping"/>
        <w:t xml:space="preserve">c) a apreciação das contas estiver pendente de decisão sobre recurso com efeito suspensivo;</w:t>
        <w:br w:type="textWrapping"/>
        <w:br w:type="textWrapping"/>
        <w:t xml:space="preserve">V - tenha sido punida com uma das seguintes sanções, pelo período que durar a penalidade:</w:t>
        <w:br w:type="textWrapping"/>
        <w:br w:type="textWrapping"/>
        <w:t xml:space="preserve">a) suspensão de participação em licitação e impedimento de contratar com a administração;</w:t>
        <w:br w:type="textWrapping"/>
        <w:br w:type="textWrapping"/>
        <w:t xml:space="preserve">b) declaração de inidoneidade para licitar ou contratar com a administração pública;</w:t>
        <w:br w:type="textWrapping"/>
        <w:br w:type="textWrapping"/>
        <w:t xml:space="preserve">c) execução da parceria em desacordo com o plano de trabalho, com as normas da lei federal 13.019/2014 ou da legislação específica e receber como sanções: advertência, suspensão temporária ou declaração de inidoneidade, em qualquer esfera da Federação;</w:t>
        <w:br w:type="textWrapping"/>
        <w:br w:type="textWrapping"/>
        <w:t xml:space="preserve">VI - tenha tido contas de parceria julgadas irregulares ou rejeitadas por Tribunal ou Conselho de Contas de qualquer esfera da Federação, em decisão irrecorrível, nos últimos 8 (oito) anos;</w:t>
        <w:br w:type="textWrapping"/>
        <w:br w:type="textWrapping"/>
        <w:t xml:space="preserve">VII - tenha entre seus dirigentes pessoa:</w:t>
        <w:br w:type="textWrapping"/>
        <w:br w:type="textWrapping"/>
        <w:t xml:space="preserve">a) cujas contas relativas a parcerias tenham sido julgadas irregulares ou rejeitadas por Tribunal ou Conselho de Contas de qualquer esfera da Federação, em decisão irrecorrível, nos últimos 8 (oito) anos;</w:t>
        <w:br w:type="textWrapping"/>
        <w:br w:type="textWrapping"/>
        <w:t xml:space="preserve">b) julgada responsável por falta grave e inabilitada para o exercício de cargo em comissão ou função de confiança, enquanto durar a inabilitação;</w:t>
        <w:br w:type="textWrapping"/>
        <w:br w:type="textWrapping"/>
        <w:t xml:space="preserve">c) considerada responsável por ato de improbidade, enquanto durarem os prazos estabelecidos nos incisos I, II e III do art. 12 da Lei no 8.429, de 2 de junho de 1992.</w:t>
        <w:br w:type="textWrapping"/>
        <w:br w:type="textWrapping"/>
        <w:t xml:space="preserve">§ 1.º Nas hipóteses deste artigo, é igualmente vedada a transferência de novos recursos no âmbito 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  <w:br w:type="textWrapping"/>
        <w:br w:type="textWrapping"/>
        <w:t xml:space="preserve">§ 2.º Em qualquer das hipóteses previstas no caput, persiste o impedimento para celebrar parceria enquanto não houver o ressarcimento do dano ao erário, pelo qual seja responsável a organização da sociedade civil ou seu dirigente.</w:t>
        <w:br w:type="textWrapping"/>
        <w:br w:type="textWrapping"/>
        <w:t xml:space="preserve">§ 3.º  Para os fins do disposto na alínea a do inciso IV e no § 2o, não serão considerados débitos que decorram de atrasos na liberação de repasses pela administração pública ou que tenham sido objeto de parcelamento, se a organização da sociedade civil estiver em situação regular no parcelamento.</w:t>
        <w:br w:type="textWrapping"/>
        <w:br w:type="textWrapping"/>
        <w:t xml:space="preserve">§ 4.º  Não são considerados membros de Poder os integrantes de conselhos de direitos e de políticas públicas.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rtl w:val="0"/>
        </w:rPr>
        <w:t xml:space="preserve">NONA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– DAS RESPONSABILIZAÇÕES E DAS SANÇÕES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.1 - Pela execução da parceria em desacordo com o plano de trabalho e com as normas da Lei nº 13.019, de 2014, e da legislação específica, a administração pública poderá, garantida a prévia defesa, aplicar à organização da sociedade civil parceira as seguintes sanções: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advertência;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suspensão temporária da participação em chamamento público e impedimento de celebrar parceria ou contrato com órgãos e entidades da esfera de governo da administração pública sancionadora, por prazo não superior a dois anos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III -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As sanções estabelecidas nos incisos II e III são de competência d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Secretário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Municipal responsável pelo repasse, sendo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Secretaria de Controle </w:t>
      </w:r>
      <w:r w:rsidDel="00000000" w:rsidR="00000000" w:rsidRPr="00000000">
        <w:rPr>
          <w:rFonts w:ascii="Arial" w:cs="Arial" w:eastAsia="Arial" w:hAnsi="Arial"/>
          <w:rtl w:val="0"/>
        </w:rPr>
        <w:t xml:space="preserve">Governamental e Transparência Pública poderá agir quando observada inércia da administração pública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facultada a defesa do interessado no respectivo processo, no prazo de dez dias da abertura de vista, podendo a reabilitação ser requerida após dois anos de aplicação da penalidade.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.2 -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Prescreve em cinco anos, contados a partir da data da apresentação da prestação de contas, a aplicação de penalidade decorrente de infração relacionada à execução da parceria.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.3 -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 prescrição será interrompida com a edição de ato administrativo voltado à apuração da infração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DÉCIMA - DA DENÚNCIA E DA RESCISÃO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.1 - O presente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poderá ser: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denunciado a qualquer tempo, ficando os partícipes responsáveis somente pelas obrigações e auferindo as vantagens do tempo em que participaram voluntariamente da avença, respeitado o prazo mínimo de 60 (sessenta) dias de antecedência para a publicidade dessa intenção, </w:t>
      </w:r>
      <w:r w:rsidDel="00000000" w:rsidR="00000000" w:rsidRPr="00000000">
        <w:rPr>
          <w:rFonts w:ascii="Arial" w:cs="Arial" w:eastAsia="Arial" w:hAnsi="Arial"/>
          <w:rtl w:val="0"/>
        </w:rPr>
        <w:t xml:space="preserve">observando 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obrigatoriedade da prévia tentativa de solução administrativa, com a participação de órgão encarregado de assessoramento jurídico integrante da estrutura da administração pública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rescindido, independente de prévia notificação ou interpelação judicial ou extrajudicial, nas seguintes hipóteses: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utilização dos recursos físicos em desacordo com o Plano de Trabalho;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b) inadimplemento de quaisquer das cláusulas pactuadas;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c) constatação, a qualquer tempo, de falsidade ou incorreção em qualquer documento apresentado; 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d) verificação da ocorrência de qualquer circunstância que enseje a instauração de Tomada de Contas Especial.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DÉCIMA </w:t>
      </w:r>
      <w:r w:rsidDel="00000000" w:rsidR="00000000" w:rsidRPr="00000000">
        <w:rPr>
          <w:rFonts w:ascii="Arial" w:cs="Arial" w:eastAsia="Arial" w:hAnsi="Arial"/>
          <w:rtl w:val="0"/>
        </w:rPr>
        <w:t xml:space="preserve">PRIMEIRA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DA PUBLICIDADE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.1 - A eficácia do presente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ou dos aditamentos que impliquem em alteração ou ampliação da execução do objeto descrito neste instrumento, fica condicionada à publicação do respectivo extrato no Diário Oficial do Município, a qual deverá ser providenciada pela administração pública no prazo de até 20 (vinte) dias a contar da respectiva assinatura.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DÉCIMA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DAS CONDIÇÕES GERAIS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.1 - Acordam os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partícipes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ainda, em estabelecer as seguintes condições: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 - as comunicações relativas a este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serão remetidas por correspondência </w:t>
      </w:r>
      <w:r w:rsidDel="00000000" w:rsidR="00000000" w:rsidRPr="00000000">
        <w:rPr>
          <w:rFonts w:ascii="Arial" w:cs="Arial" w:eastAsia="Arial" w:hAnsi="Arial"/>
          <w:rtl w:val="0"/>
        </w:rPr>
        <w:t xml:space="preserve">ou email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 serão consideradas regularmente efetuadas quando comprovado o recebimento;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 - as mensagens e documentos, resultantes da transmissão </w:t>
      </w:r>
      <w:r w:rsidDel="00000000" w:rsidR="00000000" w:rsidRPr="00000000">
        <w:rPr>
          <w:rFonts w:ascii="Arial" w:cs="Arial" w:eastAsia="Arial" w:hAnsi="Arial"/>
          <w:rtl w:val="0"/>
        </w:rPr>
        <w:t xml:space="preserve">via email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não poderão se constituir em peças de processo, e os respectivos originais deverão ser encaminhados no prazo de cinco dias; 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trike w:val="0"/>
          <w:color w:val="000000"/>
          <w:highlight w:val="cyan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III - as reuniões entre os representantes credenciados pelos partícipes, bem como quaisquer ocorrências que possam ter implicações neste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serão aceitas somente se registradas em ata ou relatórios circunstanciados.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CLÁUSULA DÉCIMA </w:t>
      </w:r>
      <w:r w:rsidDel="00000000" w:rsidR="00000000" w:rsidRPr="00000000">
        <w:rPr>
          <w:rFonts w:ascii="Arial" w:cs="Arial" w:eastAsia="Arial" w:hAnsi="Arial"/>
          <w:rtl w:val="0"/>
        </w:rPr>
        <w:t xml:space="preserve">TERCEIRA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DO FORO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.1 - Será competente para dirimir as controvérsias decorrentes deste </w:t>
      </w:r>
      <w:r w:rsidDel="00000000" w:rsidR="00000000" w:rsidRPr="00000000">
        <w:rPr>
          <w:rFonts w:ascii="Arial" w:cs="Arial" w:eastAsia="Arial" w:hAnsi="Arial"/>
          <w:rtl w:val="0"/>
        </w:rPr>
        <w:t xml:space="preserve">Termo de Colaboração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que não possam ser resolvidas pela via administrativa, o foro da Comarca de Balneário Camboriú - SC, com renúncia expressa a outros, por mais privilegiados que forem.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.2 - E, por assim estarem plenamente de acordo, os partícipes obrigam-se ao total e irrenunciável cumprimento dos termos do presente instrumento, o qual lido e achado conforme, foi lavrado em 2 (duas) vias de igual teor e forma,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serão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assinadas pelos partícipes, para que produza seus jurídicos e legais efeitos, em Juízo ou fora dele.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Balneário Camboriú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___ de __________</w:t>
        <w:tab/>
        <w:t xml:space="preserve">de 201</w:t>
      </w:r>
      <w:r w:rsidDel="00000000" w:rsidR="00000000" w:rsidRPr="00000000">
        <w:rPr>
          <w:rFonts w:ascii="Arial" w:cs="Arial" w:eastAsia="Arial" w:hAnsi="Arial"/>
          <w:rtl w:val="0"/>
        </w:rPr>
        <w:t xml:space="preserve">7.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representante legal da administração pública </w:t>
      </w:r>
      <w:r w:rsidDel="00000000" w:rsidR="00000000" w:rsidRPr="00000000">
        <w:rPr>
          <w:rFonts w:ascii="Arial" w:cs="Arial" w:eastAsia="Arial" w:hAnsi="Arial"/>
          <w:rtl w:val="0"/>
        </w:rPr>
        <w:t xml:space="preserve">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representante legal da organização da sociedade civil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8" w:top="2410" w:left="1418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after="0" w:before="0" w:line="240" w:lineRule="auto"/>
      <w:ind w:right="360"/>
      <w:contextualSpacing w:val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_____________________________________________________________________________________________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0" locked="0" relativeHeight="0" simplePos="0">
              <wp:simplePos x="0" y="0"/>
              <wp:positionH relativeFrom="margin">
                <wp:posOffset>6883400</wp:posOffset>
              </wp:positionH>
              <wp:positionV relativeFrom="paragraph">
                <wp:posOffset>0</wp:posOffset>
              </wp:positionV>
              <wp:extent cx="127000" cy="215900"/>
              <wp:effectExtent b="0" l="0" r="0" t="0"/>
              <wp:wrapNone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0" cy="215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0" locked="0" relativeHeight="0" simplePos="0">
              <wp:simplePos x="0" y="0"/>
              <wp:positionH relativeFrom="margin">
                <wp:posOffset>6883400</wp:posOffset>
              </wp:positionH>
              <wp:positionV relativeFrom="paragraph">
                <wp:posOffset>0</wp:posOffset>
              </wp:positionV>
              <wp:extent cx="127000" cy="215900"/>
              <wp:effectExtent b="0" l="0" r="0" t="0"/>
              <wp:wrapNone/>
              <wp:docPr id="1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0" cy="215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pBdr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after="0" w:before="0" w:line="240" w:lineRule="auto"/>
      <w:ind w:right="360"/>
      <w:contextualSpacing w:val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vertAlign w:val="baseline"/>
        <w:rtl w:val="0"/>
      </w:rPr>
      <w:t xml:space="preserve">BALNEÁRIO CAMBORIÚ- CAPITAL CATARINENSE DO TURISMO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after="0" w:before="0" w:line="240" w:lineRule="auto"/>
      <w:contextualSpacing w:val="0"/>
      <w:jc w:val="center"/>
      <w:rPr>
        <w:rFonts w:ascii="Calibri" w:cs="Calibri" w:eastAsia="Calibri" w:hAnsi="Calibri"/>
        <w:b w:val="1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Rua Dinamarca, 320 | Bairro das Nações - SC | Cep 88.338-900 | Fone: 47 3267.7000  </w:t>
    </w:r>
    <w:hyperlink r:id="rId3">
      <w:r w:rsidDel="00000000" w:rsidR="00000000" w:rsidRPr="00000000">
        <w:rPr>
          <w:rFonts w:ascii="Calibri" w:cs="Calibri" w:eastAsia="Calibri" w:hAnsi="Calibri"/>
          <w:b w:val="1"/>
          <w:color w:val="1155cc"/>
          <w:sz w:val="18"/>
          <w:szCs w:val="18"/>
          <w:u w:val="single"/>
          <w:vertAlign w:val="baseline"/>
          <w:rtl w:val="0"/>
        </w:rPr>
        <w:t xml:space="preserve">www.balneariocamboriu.sc.gov.br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after="0" w:before="0" w:line="240" w:lineRule="auto"/>
      <w:contextualSpacing w:val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Página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de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after="105" w:before="0" w:line="240" w:lineRule="auto"/>
      <w:contextualSpacing w:val="0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bidiVisual w:val="0"/>
      <w:tblW w:w="9675.0" w:type="dxa"/>
      <w:jc w:val="left"/>
      <w:tblInd w:w="-30.0" w:type="dxa"/>
      <w:tblLayout w:type="fixed"/>
      <w:tblLook w:val="0000"/>
    </w:tblPr>
    <w:tblGrid>
      <w:gridCol w:w="3375"/>
      <w:gridCol w:w="6300"/>
      <w:tblGridChange w:id="0">
        <w:tblGrid>
          <w:gridCol w:w="3375"/>
          <w:gridCol w:w="6300"/>
        </w:tblGrid>
      </w:tblGridChange>
    </w:tblGrid>
    <w:tr>
      <w:trPr>
        <w:trHeight w:val="1260" w:hRule="atLeast"/>
      </w:trPr>
      <w:tc>
        <w:tcPr>
          <w:tcBorders>
            <w:top w:color="000000" w:space="0" w:sz="0" w:val="nil"/>
            <w:bottom w:color="000000" w:space="0" w:sz="4" w:val="single"/>
          </w:tcBorders>
        </w:tcPr>
        <w:p w:rsidR="00000000" w:rsidDel="00000000" w:rsidP="00000000" w:rsidRDefault="00000000" w:rsidRPr="00000000">
          <w:pPr>
            <w:pBdr/>
            <w:tabs>
              <w:tab w:val="left" w:pos="9217"/>
              <w:tab w:val="left" w:pos="9926"/>
              <w:tab w:val="left" w:pos="10635"/>
              <w:tab w:val="left" w:pos="11344"/>
              <w:tab w:val="left" w:pos="12053"/>
              <w:tab w:val="left" w:pos="12762"/>
              <w:tab w:val="left" w:pos="13471"/>
              <w:tab w:val="left" w:pos="14180"/>
              <w:tab w:val="left" w:pos="14889"/>
              <w:tab w:val="left" w:pos="15598"/>
              <w:tab w:val="left" w:pos="16307"/>
              <w:tab w:val="left" w:pos="17016"/>
            </w:tabs>
            <w:spacing w:after="0" w:before="426" w:line="240" w:lineRule="auto"/>
            <w:contextualSpacing w:val="0"/>
            <w:jc w:val="center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drawing>
              <wp:inline distB="114300" distT="114300" distL="114300" distR="114300">
                <wp:extent cx="1819275" cy="698500"/>
                <wp:effectExtent b="0" l="0" r="0" t="0"/>
                <wp:docPr descr="Logo Oficial_Fundo Claro_Horizontal.png" id="2" name="image05.png"/>
                <a:graphic>
                  <a:graphicData uri="http://schemas.openxmlformats.org/drawingml/2006/picture">
                    <pic:pic>
                      <pic:nvPicPr>
                        <pic:cNvPr descr="Logo Oficial_Fundo Claro_Horizontal.png" id="0" name="image0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4" w:val="single"/>
          </w:tcBorders>
          <w:vAlign w:val="center"/>
        </w:tcPr>
        <w:p w:rsidR="00000000" w:rsidDel="00000000" w:rsidP="00000000" w:rsidRDefault="00000000" w:rsidRPr="00000000">
          <w:pPr>
            <w:keepNext w:val="1"/>
            <w:pBdr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spacing w:after="0" w:before="426" w:line="240" w:lineRule="auto"/>
            <w:contextualSpacing w:val="0"/>
            <w:rPr>
              <w:rFonts w:ascii="Calibri" w:cs="Calibri" w:eastAsia="Calibri" w:hAnsi="Calibri"/>
              <w:b w:val="1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vertAlign w:val="baseline"/>
              <w:rtl w:val="0"/>
            </w:rPr>
            <w:t xml:space="preserve">ESTADO DE SANTA CATARINA</w:t>
          </w:r>
        </w:p>
        <w:p w:rsidR="00000000" w:rsidDel="00000000" w:rsidP="00000000" w:rsidRDefault="00000000" w:rsidRPr="00000000">
          <w:pPr>
            <w:pBdr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contextualSpacing w:val="0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vertAlign w:val="baseline"/>
              <w:rtl w:val="0"/>
            </w:rPr>
            <w:t xml:space="preserve">PREFEITURA DE BALNEÁRIO CAMBORIÚ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pBdr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contextualSpacing w:val="0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vertAlign w:val="baseline"/>
              <w:rtl w:val="0"/>
            </w:rPr>
            <w:t xml:space="preserve">SECRETARIA </w:t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highlight w:val="yellow"/>
              <w:rtl w:val="0"/>
            </w:rPr>
            <w:t xml:space="preserve">_____________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after="0" w:before="0" w:line="240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Relationship Id="rId3" Type="http://schemas.openxmlformats.org/officeDocument/2006/relationships/hyperlink" Target="http://www.balneariocamboriu.sc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