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-BoldMT" w:cs="Arial-BoldMT" w:eastAsia="Arial-BoldMT" w:hAnsi="Arial-BoldMT"/>
          <w:b w:val="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1 - DADOS DA MINUTA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Número do Termo - FUNDO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Número do Termo - MUNICÍPIO</w:t>
            </w:r>
          </w:p>
        </w:tc>
      </w:tr>
      <w:tr>
        <w:trPr>
          <w:trHeight w:val="7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1.1 - Secretaria ou Fundo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1.2 - Gestor da Parceria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1.3 -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1.4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Forma de Divulgação da Parceria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Edital de Chamamento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Inexigibilidade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Dispensa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1.5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  <w:rtl w:val="0"/>
              </w:rPr>
              <w:t xml:space="preserve"> - Instrumento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 de Parceria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Termo de Fomento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Termo de Colaboração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-BoldMT" w:cs="Arial-BoldMT" w:eastAsia="Arial-BoldMT" w:hAnsi="Arial-BoldMT"/>
                <w:b w:val="0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Acordo de Cooperação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1.6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vertAlign w:val="baseline"/>
                <w:rtl w:val="0"/>
              </w:rPr>
              <w:t xml:space="preserve"> - IDENTIFICAÇÃO DO OBJETO: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-BoldMT" w:cs="Arial-BoldMT" w:eastAsia="Arial-BoldMT" w:hAnsi="Arial-BoldMT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1.7 - CARIMBO E ASSINATURA GESTOR DA PARCERIA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-BoldMT" w:cs="Arial-BoldMT" w:eastAsia="Arial-BoldMT" w:hAnsi="Arial-BoldMT"/>
                <w:b w:val="0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1.8 - CARIMBO E ASSINATURA GESTOR DO FUNDO OU SECRETÁRIO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-BoldMT" w:cs="Arial-BoldMT" w:eastAsia="Arial-BoldMT" w:hAnsi="Arial-BoldMT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2</w:t>
      </w:r>
      <w:r w:rsidDel="00000000" w:rsidR="00000000" w:rsidRPr="00000000">
        <w:rPr>
          <w:rFonts w:ascii="Arial-BoldMT" w:cs="Arial-BoldMT" w:eastAsia="Arial-BoldMT" w:hAnsi="Arial-BoldMT"/>
          <w:b w:val="1"/>
          <w:vertAlign w:val="baseline"/>
          <w:rtl w:val="0"/>
        </w:rPr>
        <w:t xml:space="preserve"> - </w:t>
      </w: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COMISSÃO DE SELEÇÃO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2.1 - Análise da Forma de Divulgação da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2.2 - Análise do Instrumento de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2.3 - 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2.4 - Assinaturas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3 - SECRETARIA DE CONTROLE GOVERNAMENTAL E TRANSPARÊNCIA PÚBLICA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3.1 - Análise da Forma de Divulgação da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3.2 - Análise do Instrumento de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2.3 - Observações (Caso conclua pela possibilidade de celebração da parceria com ressalvas, deverá o administrador público sanar os aspectos ressalvados ou, mediante ato formal, justificar a preservação desses aspectos ou sua exclusão - Art 35, § 2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o da Lei Federal 1.019/2014)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left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jc w:val="left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left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jc w:val="left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3.3 - Assinaturas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4 - SECRETARIA DE ARTICULAÇÃO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4.1 - Análise da Forma de Divulgação da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4.2 - Análise do Instrumento de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4.3 - 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4.3 - Assinaturas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contextualSpacing w:val="0"/>
        <w:jc w:val="center"/>
        <w:rPr>
          <w:rFonts w:ascii="Arial-BoldMT" w:cs="Arial-BoldMT" w:eastAsia="Arial-BoldMT" w:hAnsi="Arial-Bold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5 - PROCURADORIA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5.1 - Análise da Forma de Divulgação da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5.2 - Análise do Instrumento de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Aprovado com ressalvas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▢ Reprovado</w:t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-BoldMT" w:cs="Arial-BoldMT" w:eastAsia="Arial-BoldMT" w:hAnsi="Arial-BoldMT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5.3 - 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16"/>
                <w:szCs w:val="16"/>
                <w:rtl w:val="0"/>
              </w:rPr>
              <w:t xml:space="preserve">5.3 - Assinaturas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Arial-BoldMT" w:cs="Arial-BoldMT" w:eastAsia="Arial-BoldMT" w:hAnsi="Arial-BoldM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contextualSpacing w:val="0"/>
        <w:jc w:val="center"/>
        <w:rPr>
          <w:rFonts w:ascii="Arial-BoldMT" w:cs="Arial-BoldMT" w:eastAsia="Arial-BoldMT" w:hAnsi="Arial-Bold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center"/>
        <w:rPr>
          <w:rFonts w:ascii="Arial-BoldMT" w:cs="Arial-BoldMT" w:eastAsia="Arial-BoldMT" w:hAnsi="Arial-Bold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both"/>
        <w:rPr>
          <w:rFonts w:ascii="Arial-BoldMT" w:cs="Arial-BoldMT" w:eastAsia="Arial-BoldMT" w:hAnsi="Arial-BoldMT"/>
          <w:b w:val="1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rtl w:val="0"/>
        </w:rPr>
        <w:t xml:space="preserve">CHECK LIST</w:t>
      </w:r>
    </w:p>
    <w:tbl>
      <w:tblPr>
        <w:tblStyle w:val="Table6"/>
        <w:tblW w:w="93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7"/>
        <w:tblGridChange w:id="0">
          <w:tblGrid>
            <w:gridCol w:w="93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-BoldMT" w:cs="Arial-BoldMT" w:eastAsia="Arial-BoldMT" w:hAnsi="Arial-Bold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QUANDO A FORMA DE PARCERIA FOR POR EDITAL DE CHAMAMENTO: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Formulário para Aprovação de minuta, preenchido e assinado;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Minuta do EDITAL DE CHAMAMENTO, contendo como anexo: a minuta do termo de colaboração e plano de trabalho preenchidos.</w:t>
            </w:r>
          </w:p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OBS: Os documentos, na ordem descrita, deverão ser encaminhados à Comissão de Seleção via protocolo geral do município.Após aprovação deverá ser feita a publicação do edital de chamamento em sítio oficial na internet. Após 30 dias a comissão de seleção irá providenciar o processo de seleção para escolha da Organização da sociedade civil. Após a seleção, a OSC vencedora será convocada para entregar documentos, que serão analisados pela Comissão de Seleção,  e se não estiver em situação de impedimento ou vedação, será encaminhado à Procuradoria Geral do Município para Parecer Jurídico e se este for favorável, poderá assinar o termo de colaboração.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rFonts w:ascii="Arial-BoldMT" w:cs="Arial-BoldMT" w:eastAsia="Arial-BoldMT" w:hAnsi="Arial-Bold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QUANDO A FORMA DE PARCERIA FOR POR INEXIGIBILIDADE OU DISPENSA DE CHAMAMENTO: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Formulário para Aprovação de minuta, preenchido e assinado;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Justificativa assinada da INEXIGIBILIDADE ou da DISPENSA, nos moldes do arts. 30 e 31 da Lei Federal 13.019/2014;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Minuta do termo de colaboração e plano de trabalho preenchidos;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Documentação da entidade.</w:t>
            </w:r>
          </w:p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OBS: Os documentos, na ordem descrita, deverão ser encaminhados à Comissão de Seleção via protocolo geral do município. Após todas as aprovações necessárias,  será encaminhado à Procuradoria Geral do Município para Parecer Jurídico. Se este for favorável, deverá publicar o extrato da inexigibilidade e aguardar 5 dias. Se não houver recurso, ou se, houver este, for indeferido, a OSC poderá assinar o termo de colaboração. Após assinatura do termo, será necessário publicar o extrato do termo  para efetivação dos mesmos. (Lei 13.019/2014 Art. 32 e 38)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Arial-BoldMT" w:cs="Arial-BoldMT" w:eastAsia="Arial-BoldMT" w:hAnsi="Arial-Bold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QUANDO O INSTRUMENTO DE PARCERIA FOR ACORDO DE COOPERAÇÃO: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Formulário para Aprovação de minuta, preenchido e assinado;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Minuta do acordo de cooperação e plano de trabalho preenchidos;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Documentação da entidade.</w:t>
            </w:r>
          </w:p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Arial-BoldMT" w:cs="Arial-BoldMT" w:eastAsia="Arial-BoldMT" w:hAnsi="Arial-BoldMT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sz w:val="20"/>
                <w:szCs w:val="20"/>
                <w:rtl w:val="0"/>
              </w:rPr>
              <w:t xml:space="preserve">OBS: Os documentos, na ordem descrita, deverão ser encaminhados à Comissão de Seleção via protocolo geral do município. Após aprovação deverá ser feita a publicação do extrato da inexigibilidade, aguardar 5 dias e poderá ser assinado o acordo de cooperação. Após assinatura do acordo, será necessário publicar o extrato do acordo para efetivação dos mesmos. (Lei 13.019/2014 Art. 32 e 38)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Arial-BoldMT" w:cs="Arial-BoldMT" w:eastAsia="Arial-BoldMT" w:hAnsi="Arial-BoldM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Formulários, minutas podem ser encontrados no site abaixo.</w:t>
            </w:r>
          </w:p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Arial-BoldMT" w:cs="Arial-BoldMT" w:eastAsia="Arial-BoldMT" w:hAnsi="Arial-BoldMT"/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-BoldMT" w:cs="Arial-BoldMT" w:eastAsia="Arial-BoldMT" w:hAnsi="Arial-BoldMT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http://controladoria.balneariocamboriu.sc.gov.br:8080/controladoria/23/</w:t>
              </w:r>
            </w:hyperlink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A">
      <w:pPr>
        <w:contextualSpacing w:val="0"/>
        <w:jc w:val="both"/>
        <w:rPr>
          <w:rFonts w:ascii="Arial-BoldMT" w:cs="Arial-BoldMT" w:eastAsia="Arial-BoldMT" w:hAnsi="Arial-BoldM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92.1259842519686" w:top="1700.7874015748032" w:left="1559.0551181102364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Arial-BoldMT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libri" w:cs="Calibri" w:eastAsia="Calibri" w:hAnsi="Calibri"/>
        <w:b w:val="1"/>
        <w:sz w:val="14"/>
        <w:szCs w:val="14"/>
      </w:rPr>
    </w:pP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BALNEÁRIO CAMBORIÚ- CAPITAL CATARINENSE DO TURISMO </w:t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libri" w:cs="Calibri" w:eastAsia="Calibri" w:hAnsi="Calibri"/>
        <w:b w:val="1"/>
        <w:sz w:val="8"/>
        <w:szCs w:val="8"/>
      </w:rPr>
    </w:pP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Rua Dinamarca, 320 | Bairro das Nações - SC | Cep 88.338-900 | Fone: +55 47 3267.7084 | Fax: +55 47 3367.1826 www.balneariocamboriu.sc.gov.br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529" w:before="0" w:line="240" w:lineRule="auto"/>
      <w:contextualSpacing w:val="0"/>
      <w:jc w:val="right"/>
      <w:rPr>
        <w:rFonts w:ascii="Calibri" w:cs="Calibri" w:eastAsia="Calibri" w:hAnsi="Calibri"/>
        <w:b w:val="0"/>
        <w:sz w:val="16"/>
        <w:szCs w:val="16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9405.0" w:type="dxa"/>
      <w:jc w:val="left"/>
      <w:tblInd w:w="105.0" w:type="dxa"/>
      <w:tblLayout w:type="fixed"/>
      <w:tblLook w:val="0000"/>
    </w:tblPr>
    <w:tblGrid>
      <w:gridCol w:w="3330"/>
      <w:gridCol w:w="6075"/>
      <w:tblGridChange w:id="0">
        <w:tblGrid>
          <w:gridCol w:w="3330"/>
          <w:gridCol w:w="6075"/>
        </w:tblGrid>
      </w:tblGridChange>
    </w:tblGrid>
    <w:tr>
      <w:trPr>
        <w:trHeight w:val="1260" w:hRule="atLeast"/>
      </w:trPr>
      <w:tc>
        <w:tcPr>
          <w:vAlign w:val="top"/>
        </w:tcPr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426" w:lineRule="auto"/>
            <w:contextualSpacing w:val="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981200" cy="812800"/>
                <wp:effectExtent b="0" l="0" r="0" t="0"/>
                <wp:docPr descr="Brasão Balneário Camboriú.jpg" id="1" name="image2.jpg"/>
                <a:graphic>
                  <a:graphicData uri="http://schemas.openxmlformats.org/drawingml/2006/picture">
                    <pic:pic>
                      <pic:nvPicPr>
                        <pic:cNvPr descr="Brasão Balneário Camboriú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D">
          <w:pPr>
            <w:keepNext w:val="1"/>
            <w:numPr>
              <w:ilvl w:val="1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-3"/>
            </w:tabs>
            <w:spacing w:before="426" w:lineRule="auto"/>
            <w:ind w:left="-3" w:firstLine="0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ESTADO DE SANTA CATARINA</w:t>
          </w:r>
        </w:p>
        <w:p w:rsidR="00000000" w:rsidDel="00000000" w:rsidP="00000000" w:rsidRDefault="00000000" w:rsidRPr="00000000" w14:paraId="000000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-3"/>
            </w:tabs>
            <w:ind w:left="-3" w:right="60" w:firstLine="0"/>
            <w:contextualSpacing w:val="0"/>
            <w:rPr>
              <w:rFonts w:ascii="Calibri" w:cs="Calibri" w:eastAsia="Calibri" w:hAnsi="Calibri"/>
              <w:b w:val="1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PREFEITURA DE BALNEÁRIO CAMBORIÚ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-3"/>
            </w:tabs>
            <w:ind w:left="-3" w:firstLine="0"/>
            <w:contextualSpacing w:val="0"/>
            <w:rPr>
              <w:rFonts w:ascii="Calibri" w:cs="Calibri" w:eastAsia="Calibri" w:hAnsi="Calibri"/>
              <w:b w:val="1"/>
              <w:sz w:val="21"/>
              <w:szCs w:val="2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1"/>
              <w:szCs w:val="21"/>
              <w:rtl w:val="0"/>
            </w:rPr>
            <w:t xml:space="preserve">LEI 13.019/2014</w:t>
          </w:r>
        </w:p>
      </w:tc>
    </w:tr>
    <w:tr>
      <w:trPr>
        <w:trHeight w:val="240" w:hRule="atLeast"/>
      </w:trPr>
      <w:tc>
        <w:tcPr>
          <w:gridSpan w:val="2"/>
          <w:tcBorders>
            <w:bottom w:color="000000" w:space="0" w:sz="6" w:val="single"/>
            <w:right w:color="000000" w:space="0" w:sz="6" w:val="single"/>
          </w:tcBorders>
          <w:shd w:fill="d9d9d9" w:val="clear"/>
          <w:vAlign w:val="top"/>
        </w:tcPr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lineRule="auto"/>
            <w:contextualSpacing w:val="0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Fonts w:ascii="Arial-BoldMT" w:cs="Arial-BoldMT" w:eastAsia="Arial-BoldMT" w:hAnsi="Arial-BoldMT"/>
              <w:b w:val="1"/>
              <w:sz w:val="20"/>
              <w:szCs w:val="20"/>
              <w:rtl w:val="0"/>
            </w:rPr>
            <w:t xml:space="preserve">FORMULÁRIO PARA APROVAÇÃO DE MINUTA - Decreto 8.489/2017 Art. 24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jc w:val="left"/>
      <w:rPr>
        <w:rFonts w:ascii="Arial-BoldMT" w:cs="Arial-BoldMT" w:eastAsia="Arial-BoldMT" w:hAnsi="Arial-BoldMT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ontroladoria.balneariocamboriu.sc.gov.br:8080/controladoria/23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